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p>
    <w:p>
      <w:pPr>
        <w:jc w:val="center"/>
        <w:rPr>
          <w:sz w:val="44"/>
          <w:szCs w:val="44"/>
        </w:rPr>
      </w:pPr>
      <w:r>
        <w:rPr>
          <w:rFonts w:hint="eastAsia"/>
          <w:sz w:val="44"/>
          <w:szCs w:val="44"/>
          <w:lang w:val="en-US" w:eastAsia="zh-CN"/>
        </w:rPr>
        <w:t>偏关县文化和旅游局</w:t>
      </w:r>
      <w:r>
        <w:rPr>
          <w:rFonts w:hint="eastAsia"/>
          <w:sz w:val="44"/>
          <w:szCs w:val="44"/>
        </w:rPr>
        <w:t>“双公示”目录</w:t>
      </w:r>
    </w:p>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139"/>
        <w:gridCol w:w="1768"/>
        <w:gridCol w:w="2399"/>
        <w:gridCol w:w="457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98" w:type="dxa"/>
            <w:vAlign w:val="center"/>
          </w:tcPr>
          <w:p>
            <w:pPr>
              <w:jc w:val="center"/>
              <w:rPr>
                <w:rFonts w:asciiTheme="minorEastAsia" w:hAnsiTheme="minorEastAsia"/>
                <w:bCs/>
                <w:sz w:val="28"/>
                <w:szCs w:val="28"/>
              </w:rPr>
            </w:pPr>
            <w:r>
              <w:rPr>
                <w:rFonts w:hint="eastAsia" w:asciiTheme="minorEastAsia" w:hAnsiTheme="minorEastAsia"/>
                <w:bCs/>
                <w:sz w:val="28"/>
                <w:szCs w:val="28"/>
              </w:rPr>
              <w:t>序号</w:t>
            </w:r>
          </w:p>
        </w:tc>
        <w:tc>
          <w:tcPr>
            <w:tcW w:w="2139"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行政决定部门</w:t>
            </w:r>
          </w:p>
        </w:tc>
        <w:tc>
          <w:tcPr>
            <w:tcW w:w="1768"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行政职权类别</w:t>
            </w:r>
          </w:p>
        </w:tc>
        <w:tc>
          <w:tcPr>
            <w:tcW w:w="2399" w:type="dxa"/>
            <w:vAlign w:val="center"/>
          </w:tcPr>
          <w:p>
            <w:pPr>
              <w:jc w:val="center"/>
              <w:rPr>
                <w:rFonts w:asciiTheme="minorEastAsia" w:hAnsiTheme="minorEastAsia"/>
                <w:bCs/>
                <w:sz w:val="28"/>
                <w:szCs w:val="28"/>
              </w:rPr>
            </w:pPr>
            <w:r>
              <w:rPr>
                <w:rFonts w:hint="eastAsia" w:asciiTheme="minorEastAsia" w:hAnsiTheme="minorEastAsia"/>
                <w:bCs/>
                <w:sz w:val="28"/>
                <w:szCs w:val="28"/>
              </w:rPr>
              <w:t>项目名称</w:t>
            </w:r>
          </w:p>
        </w:tc>
        <w:tc>
          <w:tcPr>
            <w:tcW w:w="4570" w:type="dxa"/>
            <w:vAlign w:val="center"/>
          </w:tcPr>
          <w:p>
            <w:pPr>
              <w:jc w:val="center"/>
              <w:rPr>
                <w:rFonts w:asciiTheme="minorEastAsia" w:hAnsiTheme="minorEastAsia"/>
                <w:bCs/>
                <w:sz w:val="28"/>
                <w:szCs w:val="28"/>
              </w:rPr>
            </w:pPr>
            <w:r>
              <w:rPr>
                <w:rFonts w:hint="eastAsia" w:asciiTheme="minorEastAsia" w:hAnsiTheme="minorEastAsia"/>
                <w:bCs/>
                <w:sz w:val="28"/>
                <w:szCs w:val="28"/>
              </w:rPr>
              <w:t>设定依据</w:t>
            </w:r>
          </w:p>
        </w:tc>
        <w:tc>
          <w:tcPr>
            <w:tcW w:w="2300" w:type="dxa"/>
            <w:vAlign w:val="center"/>
          </w:tcPr>
          <w:p>
            <w:pPr>
              <w:jc w:val="center"/>
              <w:rPr>
                <w:rFonts w:asciiTheme="minorEastAsia" w:hAnsiTheme="minorEastAsia"/>
                <w:bCs/>
                <w:sz w:val="28"/>
                <w:szCs w:val="28"/>
              </w:rPr>
            </w:pPr>
            <w:r>
              <w:rPr>
                <w:rFonts w:hint="eastAsia" w:asciiTheme="minorEastAsia" w:hAnsiTheme="minorEastAsia"/>
                <w:bCs/>
                <w:sz w:val="28"/>
                <w:szCs w:val="28"/>
              </w:rPr>
              <w:t>行政相对人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trPr>
        <w:tc>
          <w:tcPr>
            <w:tcW w:w="998" w:type="dxa"/>
            <w:vAlign w:val="center"/>
          </w:tcPr>
          <w:p>
            <w:pPr>
              <w:jc w:val="center"/>
              <w:rPr>
                <w:rFonts w:asciiTheme="minorEastAsia" w:hAnsiTheme="minorEastAsia"/>
                <w:sz w:val="28"/>
                <w:szCs w:val="28"/>
              </w:rPr>
            </w:pPr>
            <w:r>
              <w:rPr>
                <w:rFonts w:hint="eastAsia" w:asciiTheme="minorEastAsia" w:hAnsiTheme="minorEastAsia"/>
                <w:sz w:val="28"/>
                <w:szCs w:val="28"/>
              </w:rPr>
              <w:t>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jc w:val="center"/>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利用营业场所制作、下载、复制、查阅、发布、传播或者以其他方式使用含有《互联网上网服务营业场所管理条例》第十四条规定禁止含有的内容的信息</w:t>
            </w:r>
          </w:p>
        </w:tc>
        <w:tc>
          <w:tcPr>
            <w:tcW w:w="4570" w:type="dxa"/>
            <w:vAlign w:val="center"/>
          </w:tcPr>
          <w:p>
            <w:pPr>
              <w:jc w:val="center"/>
              <w:rPr>
                <w:rFonts w:asciiTheme="minorEastAsia" w:hAnsiTheme="minorEastAsia"/>
                <w:sz w:val="28"/>
                <w:szCs w:val="28"/>
              </w:rPr>
            </w:pPr>
            <w:r>
              <w:rPr>
                <w:rFonts w:ascii="仿宋" w:hAnsi="仿宋" w:eastAsia="仿宋" w:cs="仿宋"/>
                <w:color w:val="2B2B2B"/>
                <w:szCs w:val="21"/>
                <w:shd w:val="clear" w:color="auto" w:fill="FBFBFB"/>
              </w:rPr>
              <w:t>《互联网上网服务营业场所管理条例》第十四条第二十九条第一款</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p>
            <w:pPr>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jc w:val="center"/>
              <w:rPr>
                <w:rFonts w:asciiTheme="minorEastAsia" w:hAnsiTheme="minorEastAsia"/>
                <w:sz w:val="28"/>
                <w:szCs w:val="28"/>
              </w:rPr>
            </w:pPr>
            <w:r>
              <w:rPr>
                <w:rFonts w:ascii="仿宋_GB2312" w:eastAsia="仿宋_GB2312"/>
                <w:szCs w:val="21"/>
              </w:rPr>
              <w:t>互联网上网服务营业场所经营单位违反《互联网上网服务营业场所管理条例》的规定，涂改、出租、出借或者以其他方式转让《网络文化经营许可证》</w:t>
            </w:r>
          </w:p>
        </w:tc>
        <w:tc>
          <w:tcPr>
            <w:tcW w:w="4570" w:type="dxa"/>
            <w:vAlign w:val="center"/>
          </w:tcPr>
          <w:p>
            <w:pPr>
              <w:spacing w:line="240" w:lineRule="exact"/>
              <w:rPr>
                <w:rFonts w:ascii="仿宋_GB2312" w:eastAsia="仿宋_GB2312"/>
                <w:szCs w:val="21"/>
              </w:rPr>
            </w:pPr>
            <w:r>
              <w:rPr>
                <w:rFonts w:ascii="仿宋_GB2312" w:eastAsia="仿宋_GB2312"/>
                <w:szCs w:val="21"/>
              </w:rPr>
              <w:t>《互联网上网服务营业场所管理条例》第十二条</w:t>
            </w:r>
          </w:p>
          <w:p>
            <w:pPr>
              <w:jc w:val="center"/>
              <w:rPr>
                <w:rFonts w:asciiTheme="minorEastAsia" w:hAnsiTheme="minorEastAsia"/>
                <w:sz w:val="28"/>
                <w:szCs w:val="28"/>
              </w:rPr>
            </w:pPr>
            <w:r>
              <w:rPr>
                <w:rFonts w:ascii="仿宋_GB2312" w:eastAsia="仿宋_GB2312"/>
                <w:szCs w:val="21"/>
              </w:rPr>
              <w:t>第二十八条</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2"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3</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互联网上网服务营业场所经营单位违反《互联网上网服务营业场所管理条例》的规定，在规定的营业时间以外营业的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 第二十二条　第三十条第一项</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4</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互联网上网服务营业场所经营单位违反《互联网上网服务营业场所管理条例》的规定，接纳未成年人进入营业场所的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《互联网上网服务营业场所管理条例》第二十一条第一款 第三十条第二项</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5</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互联网上网服务营业场所经营单位违反《互联网上网服务营业场所管理条例》的规定，经营非网络游戏的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 第十七条：第三十条第三项　</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6</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互联网上网服务营业场所经营单位违反《互联网上网服务营业场所管理条例》的规定，擅自停止实施经营管理技术措施的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 第十九条：第十四条　第十五条　第十八条 第三十条第四项</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7</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互联网上网服务营业场所经营单位违反《互联网上网服务营业场所管理条例》的规定，未悬挂《网络文化经营许可证》或者未成年人禁入标志的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《互联网上网服务营业场所管理条例》第二十条</w:t>
            </w:r>
            <w:r>
              <w:rPr>
                <w:rFonts w:ascii="仿宋" w:hAnsi="仿宋" w:eastAsia="仿宋" w:cs="仿宋"/>
                <w:szCs w:val="21"/>
              </w:rPr>
              <w:br w:type="textWrapping"/>
            </w:r>
            <w:r>
              <w:rPr>
                <w:rFonts w:ascii="仿宋" w:hAnsi="仿宋" w:eastAsia="仿宋" w:cs="仿宋"/>
                <w:szCs w:val="21"/>
              </w:rPr>
              <w:t>第二十一条第二款 第三十条第五项</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5" w:hRule="atLeast"/>
        </w:trPr>
        <w:tc>
          <w:tcPr>
            <w:tcW w:w="998" w:type="dxa"/>
            <w:vAlign w:val="center"/>
          </w:tcPr>
          <w:p>
            <w:pPr>
              <w:jc w:val="center"/>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8</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互联网上网服务营业场所经营单位违反《互联网上网服务营业场所管理条例》的规定，向上网消费者提供的计算机未通过局域网的方式接入互联网的;未建立场内巡查制度，或者发现上网消费者的违法行为未予制止并向文化行政部门、公安机关举报的;</w:t>
            </w:r>
          </w:p>
          <w:p>
            <w:pPr>
              <w:tabs>
                <w:tab w:val="left" w:pos="7937"/>
              </w:tabs>
              <w:spacing w:line="240" w:lineRule="exact"/>
              <w:rPr>
                <w:rFonts w:asciiTheme="minorEastAsia" w:hAnsiTheme="minorEastAsia"/>
                <w:sz w:val="28"/>
                <w:szCs w:val="28"/>
              </w:rPr>
            </w:pPr>
            <w:r>
              <w:rPr>
                <w:rFonts w:ascii="仿宋" w:hAnsi="仿宋" w:eastAsia="仿宋" w:cs="仿宋"/>
                <w:szCs w:val="21"/>
              </w:rPr>
              <w:t>未按规定核对、登记上网消费者的有效身份证件或者记录有关上网信息的;未按规定时间保存登记内容、记录备份，或者在保存期内修改、删除登记内容、记录备份的;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《互联网上网服务营业场所管理条例》第三十一条</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互联网上网服务营业场所经营单位违反《互联网上网服务营业场所管理条例》的规定，变更名称、住所、法定代表人或者主要负责人未向文化行政部门备案的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《互联网上网服务营业场所管理条例》第十三条第三十一条第五项</w:t>
            </w: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10</w:t>
            </w:r>
          </w:p>
        </w:tc>
        <w:tc>
          <w:tcPr>
            <w:tcW w:w="2139" w:type="dxa"/>
            <w:vAlign w:val="center"/>
          </w:tcPr>
          <w:p>
            <w:pPr>
              <w:jc w:val="center"/>
              <w:rPr>
                <w:rFonts w:hint="eastAsia" w:asciiTheme="minorEastAsia" w:hAnsiTheme="minorEastAsia"/>
                <w:sz w:val="28"/>
                <w:szCs w:val="28"/>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Theme="minorEastAsia" w:hAnsiTheme="minorEastAsia"/>
                <w:sz w:val="28"/>
                <w:szCs w:val="28"/>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互联网上网服务营业场所经营单位存在安全隐患，情节严重的</w:t>
            </w:r>
          </w:p>
          <w:p>
            <w:pPr>
              <w:tabs>
                <w:tab w:val="left" w:pos="7937"/>
              </w:tabs>
              <w:spacing w:line="240" w:lineRule="exact"/>
              <w:rPr>
                <w:rFonts w:asciiTheme="minorEastAsia" w:hAnsiTheme="minorEastAsia"/>
                <w:sz w:val="28"/>
                <w:szCs w:val="28"/>
              </w:rPr>
            </w:pPr>
            <w:r>
              <w:rPr>
                <w:rFonts w:ascii="仿宋" w:hAnsi="仿宋" w:eastAsia="仿宋" w:cs="仿宋"/>
                <w:szCs w:val="21"/>
              </w:rPr>
              <w:t>互联网上网服务营业场所经营单位违反国家有关信息网络安全、治安管理、消防管理、工商行政管理、电信管理等规定，情节严重的</w:t>
            </w:r>
          </w:p>
        </w:tc>
        <w:tc>
          <w:tcPr>
            <w:tcW w:w="4570" w:type="dxa"/>
            <w:vAlign w:val="center"/>
          </w:tcPr>
          <w:p>
            <w:pPr>
              <w:tabs>
                <w:tab w:val="left" w:pos="7937"/>
              </w:tabs>
              <w:spacing w:line="240" w:lineRule="exact"/>
              <w:rPr>
                <w:rFonts w:hint="default" w:ascii="仿宋" w:hAnsi="仿宋" w:eastAsia="仿宋" w:cs="仿宋"/>
                <w:szCs w:val="21"/>
              </w:rPr>
            </w:pPr>
            <w:r>
              <w:rPr>
                <w:rFonts w:ascii="仿宋" w:hAnsi="仿宋" w:eastAsia="仿宋" w:cs="仿宋"/>
                <w:szCs w:val="21"/>
              </w:rPr>
              <w:t>《互联网上网服务营业场所管理条例》第二十四条第三十二条互</w:t>
            </w:r>
          </w:p>
          <w:p>
            <w:pPr>
              <w:tabs>
                <w:tab w:val="left" w:pos="7937"/>
              </w:tabs>
              <w:spacing w:line="240" w:lineRule="exact"/>
              <w:rPr>
                <w:rFonts w:asciiTheme="minorEastAsia" w:hAnsiTheme="minorEastAsia"/>
                <w:sz w:val="28"/>
                <w:szCs w:val="28"/>
              </w:rPr>
            </w:pPr>
          </w:p>
        </w:tc>
        <w:tc>
          <w:tcPr>
            <w:tcW w:w="2300" w:type="dxa"/>
            <w:vAlign w:val="center"/>
          </w:tcPr>
          <w:p>
            <w:pPr>
              <w:jc w:val="center"/>
              <w:rPr>
                <w:rFonts w:asciiTheme="minorEastAsia" w:hAnsiTheme="minorEastAsia"/>
                <w:sz w:val="28"/>
                <w:szCs w:val="28"/>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擅自安装、使用卫星地面接收设施的</w:t>
            </w:r>
          </w:p>
        </w:tc>
        <w:tc>
          <w:tcPr>
            <w:tcW w:w="4570" w:type="dxa"/>
            <w:vAlign w:val="center"/>
          </w:tcPr>
          <w:p>
            <w:pPr>
              <w:rPr>
                <w:rFonts w:asciiTheme="minorEastAsia" w:hAnsiTheme="minorEastAsia"/>
                <w:sz w:val="28"/>
                <w:szCs w:val="28"/>
              </w:rPr>
            </w:pPr>
            <w:r>
              <w:rPr>
                <w:rFonts w:ascii="仿宋" w:hAnsi="仿宋" w:eastAsia="仿宋" w:cs="仿宋"/>
                <w:szCs w:val="21"/>
              </w:rPr>
              <w:t>《卫星电视广播地面接收设施管理规定》 第三条、第十一条第三款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单位和个人擅自设置卫星地面接收设施接收卫星传送的电视节目的</w:t>
            </w:r>
          </w:p>
        </w:tc>
        <w:tc>
          <w:tcPr>
            <w:tcW w:w="4570" w:type="dxa"/>
            <w:vAlign w:val="center"/>
          </w:tcPr>
          <w:p>
            <w:pPr>
              <w:rPr>
                <w:rFonts w:asciiTheme="minorEastAsia" w:hAnsiTheme="minorEastAsia"/>
                <w:sz w:val="28"/>
                <w:szCs w:val="28"/>
              </w:rPr>
            </w:pPr>
            <w:r>
              <w:rPr>
                <w:rFonts w:ascii="仿宋" w:hAnsi="仿宋" w:eastAsia="仿宋" w:cs="仿宋"/>
                <w:szCs w:val="21"/>
              </w:rPr>
              <w:t>《卫星电视广播地面接收设施管理规定实施细则》第九条第十九条第一项、第二项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持有《许可证》的单位和个人未按《许可证》载明的接收目的、接收内容等接收和使用卫星电视节目的;</w:t>
            </w:r>
          </w:p>
          <w:p>
            <w:pPr>
              <w:tabs>
                <w:tab w:val="left" w:pos="7937"/>
              </w:tabs>
              <w:spacing w:line="240" w:lineRule="exact"/>
              <w:rPr>
                <w:rFonts w:ascii="仿宋" w:hAnsi="仿宋" w:eastAsia="仿宋" w:cs="仿宋"/>
                <w:szCs w:val="21"/>
              </w:rPr>
            </w:pPr>
            <w:r>
              <w:rPr>
                <w:rFonts w:ascii="仿宋" w:hAnsi="仿宋" w:eastAsia="仿宋" w:cs="仿宋"/>
                <w:szCs w:val="21"/>
              </w:rPr>
              <w:t>持有《许可证》的单位，将接收设施的终端安置到超越其规定接收范围的场所;</w:t>
            </w:r>
          </w:p>
          <w:p>
            <w:pPr>
              <w:tabs>
                <w:tab w:val="left" w:pos="7937"/>
              </w:tabs>
              <w:spacing w:line="240" w:lineRule="exact"/>
              <w:rPr>
                <w:rFonts w:ascii="仿宋" w:hAnsi="仿宋" w:eastAsia="仿宋" w:cs="仿宋"/>
                <w:szCs w:val="21"/>
              </w:rPr>
            </w:pPr>
            <w:r>
              <w:rPr>
                <w:rFonts w:ascii="仿宋" w:hAnsi="仿宋" w:eastAsia="仿宋" w:cs="仿宋"/>
                <w:szCs w:val="21"/>
              </w:rPr>
              <w:t>持有《许可证》的单位，在本单位有线（闭路）电视系统中传送所接收的境外电视节目的;</w:t>
            </w:r>
          </w:p>
          <w:p>
            <w:pPr>
              <w:tabs>
                <w:tab w:val="left" w:pos="7937"/>
              </w:tabs>
              <w:spacing w:line="240" w:lineRule="exact"/>
              <w:rPr>
                <w:rFonts w:ascii="仿宋" w:hAnsi="仿宋" w:eastAsia="仿宋" w:cs="仿宋"/>
                <w:szCs w:val="21"/>
              </w:rPr>
            </w:pPr>
            <w:r>
              <w:rPr>
                <w:rFonts w:ascii="仿宋" w:hAnsi="仿宋" w:eastAsia="仿宋" w:cs="仿宋"/>
                <w:szCs w:val="21"/>
              </w:rPr>
              <w:t>单位和个人擅自在车站、机场、商店等公共场所播放或以其它方式传播境外电视节目的;</w:t>
            </w:r>
          </w:p>
          <w:p>
            <w:pPr>
              <w:tabs>
                <w:tab w:val="left" w:pos="7937"/>
              </w:tabs>
              <w:spacing w:line="240" w:lineRule="exact"/>
              <w:rPr>
                <w:rFonts w:ascii="仿宋" w:hAnsi="仿宋" w:eastAsia="仿宋" w:cs="仿宋"/>
                <w:szCs w:val="21"/>
              </w:rPr>
            </w:pPr>
            <w:r>
              <w:rPr>
                <w:rFonts w:ascii="仿宋" w:hAnsi="仿宋" w:eastAsia="仿宋" w:cs="仿宋"/>
                <w:szCs w:val="21"/>
              </w:rPr>
              <w:t>单位和个人利用卫星地面接收设施接收、传播反动、淫秽的卫星电视节目的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《卫星电视广播地面接收设施管理规定实施细则》第十一条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电视台、电视转播台、电视差转台、有线电视台、有线电视站、共用天线系统转播卫星传送的境外电视节目的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《卫星电视广播地面接收设施管理规定实施细则》第十二条第十九条第一项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未持有《卫星地面接收设施安装许可证》的单位承担安装卫星地面接收设施施工任务的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《卫星电视广播地面接收设施管理规定实施细则》第十条第十九条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单位和个人擅自涂改、转让《许可证》的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《卫星电视广播地面接收设施管理规定实施细则》第十三条第十九条第一项、第二项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有关卫星地面接收设施的宣传、广告违反规定的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《卫星电视广播地面接收设施管理规定实施细则》第十四条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单位和个人擅自设立广播电台、电视台、有线广播电视传输覆盖网，广播电视站的;</w:t>
            </w:r>
          </w:p>
          <w:p>
            <w:pPr>
              <w:tabs>
                <w:tab w:val="left" w:pos="7937"/>
              </w:tabs>
              <w:spacing w:line="240" w:lineRule="exact"/>
              <w:rPr>
                <w:rFonts w:ascii="仿宋" w:hAnsi="仿宋" w:eastAsia="仿宋" w:cs="仿宋"/>
                <w:szCs w:val="21"/>
              </w:rPr>
            </w:pPr>
            <w:r>
              <w:rPr>
                <w:rFonts w:ascii="仿宋" w:hAnsi="仿宋" w:eastAsia="仿宋" w:cs="仿宋"/>
                <w:szCs w:val="21"/>
              </w:rPr>
              <w:t>擅自设立广播电视发射台、转播台、微波站、卫星上行站的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《广播电视管理条例》第十条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擅自设立广播电视节目制作经营单位或者擅自制作电视剧及其他广播电视节目的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《广播电视管理条例》第三十一条第三十五条第四十八条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广播电台、电视台制作、播放、向境外提供有禁止内容的节目的</w:t>
            </w:r>
          </w:p>
        </w:tc>
        <w:tc>
          <w:tcPr>
            <w:tcW w:w="4570" w:type="dxa"/>
            <w:vAlign w:val="center"/>
          </w:tcPr>
          <w:p>
            <w:pPr>
              <w:tabs>
                <w:tab w:val="left" w:pos="7937"/>
              </w:tabs>
              <w:spacing w:line="240" w:lineRule="exact"/>
              <w:rPr>
                <w:rFonts w:asciiTheme="minorEastAsia" w:hAnsiTheme="minorEastAsia"/>
                <w:sz w:val="28"/>
                <w:szCs w:val="28"/>
              </w:rPr>
            </w:pPr>
            <w:r>
              <w:rPr>
                <w:rFonts w:ascii="仿宋" w:hAnsi="仿宋" w:eastAsia="仿宋" w:cs="仿宋"/>
                <w:szCs w:val="21"/>
              </w:rPr>
              <w:t xml:space="preserve">《广播电视管理条例》第三十二条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广播电台、电视台未经批准，擅自变更台名、台标、节目设置范围或节目套数的;</w:t>
            </w:r>
          </w:p>
          <w:p>
            <w:pPr>
              <w:tabs>
                <w:tab w:val="left" w:pos="7937"/>
              </w:tabs>
              <w:spacing w:line="240" w:lineRule="exact"/>
              <w:rPr>
                <w:rFonts w:ascii="仿宋" w:hAnsi="仿宋" w:eastAsia="仿宋" w:cs="仿宋"/>
                <w:szCs w:val="21"/>
              </w:rPr>
            </w:pPr>
            <w:r>
              <w:rPr>
                <w:rFonts w:ascii="仿宋" w:hAnsi="仿宋" w:eastAsia="仿宋" w:cs="仿宋"/>
                <w:szCs w:val="21"/>
              </w:rPr>
              <w:t>广播电台、电视台未经批准，擅自变更台名、台标、节目设置范围或节目套数的广播电台、电视台出租、转让播出时段的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地方广播电台、电视台或者广播电视站违反规定转播、播放广播电视节目的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《广播电视管理条例》第三十七条第一款第五十条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广播电台、电视台播放境外广播电视节目或者广告的时间超出规定的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《广播电视管理条例》第四十条第五十条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广播电台、电视台播放未取得广播电视节目制作经营许可的单位制作的广播电视节目或者未取得电视剧制作许可证的单位制作的电视剧的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《广播电视管理条例》第三十一条第五十条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广播电台、电视台播放未经批准的境外电影、电视剧和其他广播电视节目的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《广播电视管理条例》第三十九条第五十条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教育电视台播放与教学内容无关的电影、电视片节目的</w:t>
            </w:r>
          </w:p>
        </w:tc>
        <w:tc>
          <w:tcPr>
            <w:tcW w:w="4570" w:type="dxa"/>
            <w:vAlign w:val="center"/>
          </w:tcPr>
          <w:p>
            <w:pPr>
              <w:tabs>
                <w:tab w:val="left" w:pos="7937"/>
              </w:tabs>
              <w:spacing w:line="240" w:lineRule="exact"/>
              <w:rPr>
                <w:rFonts w:hint="default" w:ascii="仿宋" w:hAnsi="仿宋" w:eastAsia="仿宋" w:cs="仿宋"/>
                <w:szCs w:val="21"/>
              </w:rPr>
            </w:pPr>
            <w:r>
              <w:rPr>
                <w:rFonts w:ascii="仿宋" w:hAnsi="仿宋" w:eastAsia="仿宋" w:cs="仿宋"/>
                <w:szCs w:val="21"/>
              </w:rPr>
              <w:t>《广播电视管理条例》第四十四条第五十条</w:t>
            </w:r>
          </w:p>
          <w:p>
            <w:pPr>
              <w:tabs>
                <w:tab w:val="left" w:pos="7937"/>
              </w:tabs>
              <w:spacing w:line="240" w:lineRule="exact"/>
              <w:rPr>
                <w:rFonts w:ascii="仿宋" w:hAnsi="仿宋" w:eastAsia="仿宋" w:cs="仿宋"/>
                <w:szCs w:val="21"/>
              </w:rPr>
            </w:pP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单位和个人未经批准、擅自举办广播电视节目交流、交易活动的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《广播电视管理条例》第四十五条第五十条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广播电视发射台、转播台出租、转让频率、频段，擅自变更广播电视发射台、转播台技术参数的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广播电视发射台、转播台擅自播入自办节目、插播广告的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《广播电视管理条例》第二十一条第五十一条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广播电台、电视台未经批准，擅自以卫星等传输方式进口、转播境外广播电视节目的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《广播电视管理条例》第二十五条第五十一条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单位和个人未经批准，擅自利用有线广播电视传输覆盖网播放节目的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《广播电视管理条例》第二十四条第五十一条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未经批准，擅自进行广播电视传输覆盖网的工程选址、设计、施工、安装的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《广播电视管理条例》第二十二条第五十一条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单位和个人侵占、干扰广播电视专用频率，擅自截传、干扰、解扰广播电视信号的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《广播电视管理条例》第二十八条第五十一条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单位和个人危害广播电台、电视台安全播出，破坏广播电视设施的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《广播电视管理条例》第十六条第五十二条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有线广播电视台(站)、宾馆、饭店和其他单位擅自开办视听点播业务的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 xml:space="preserve">《广播电视视频点播业务管理办法》第二十条第二十九条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在广播电视设施保护范围内建筑施工或爆破作业、烧荒等活动的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《广播电视设施保护条例》第八条第二十条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单位和个人损坏广播电视设施的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《广播电视设施保护条例》第四条第二十一条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单位和个人在广播电视设施保护范围内种植树木、农作物的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《广播电视设施保护条例》第八条第二十二条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广播电视发射台、转播台擅自播入自办节目、插播广告的</w:t>
            </w:r>
          </w:p>
        </w:tc>
        <w:tc>
          <w:tcPr>
            <w:tcW w:w="4570" w:type="dxa"/>
            <w:vAlign w:val="center"/>
          </w:tcPr>
          <w:p>
            <w:pPr>
              <w:rPr>
                <w:rFonts w:ascii="仿宋" w:hAnsi="仿宋" w:eastAsia="仿宋" w:cs="仿宋"/>
                <w:szCs w:val="21"/>
              </w:rPr>
            </w:pPr>
            <w:r>
              <w:rPr>
                <w:rFonts w:ascii="仿宋" w:hAnsi="仿宋" w:eastAsia="仿宋" w:cs="仿宋"/>
                <w:szCs w:val="21"/>
              </w:rPr>
              <w:t>《广播电视设施保护条例》第六条第二十二条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单位和个人在广播电视设施保护范围内钻探、打桩、抛锚、拖锚、挖沙、取土的;</w:t>
            </w:r>
          </w:p>
          <w:p>
            <w:pPr>
              <w:tabs>
                <w:tab w:val="left" w:pos="7937"/>
              </w:tabs>
              <w:spacing w:line="240" w:lineRule="exact"/>
              <w:rPr>
                <w:rFonts w:ascii="仿宋" w:hAnsi="仿宋" w:eastAsia="仿宋" w:cs="仿宋"/>
                <w:szCs w:val="21"/>
              </w:rPr>
            </w:pPr>
            <w:r>
              <w:rPr>
                <w:rFonts w:ascii="仿宋" w:hAnsi="仿宋" w:eastAsia="仿宋" w:cs="仿宋"/>
                <w:szCs w:val="21"/>
              </w:rPr>
              <w:t>单位和个人在广播电视设施保护范围内栓系牲畜、悬挂物品、攀附农作物的</w:t>
            </w:r>
          </w:p>
        </w:tc>
        <w:tc>
          <w:tcPr>
            <w:tcW w:w="4570" w:type="dxa"/>
            <w:vAlign w:val="center"/>
          </w:tcPr>
          <w:p>
            <w:pPr>
              <w:tabs>
                <w:tab w:val="left" w:pos="7937"/>
              </w:tabs>
              <w:spacing w:line="240" w:lineRule="exact"/>
              <w:rPr>
                <w:rFonts w:hint="default" w:ascii="仿宋" w:hAnsi="仿宋" w:eastAsia="仿宋" w:cs="仿宋"/>
                <w:szCs w:val="21"/>
              </w:rPr>
            </w:pPr>
            <w:r>
              <w:rPr>
                <w:rFonts w:ascii="仿宋" w:hAnsi="仿宋" w:eastAsia="仿宋" w:cs="仿宋"/>
                <w:szCs w:val="21"/>
              </w:rPr>
              <w:t>《广播电视设施保护条例》 第七条第二十二条</w:t>
            </w:r>
          </w:p>
          <w:p>
            <w:pPr>
              <w:tabs>
                <w:tab w:val="left" w:pos="7937"/>
              </w:tabs>
              <w:spacing w:line="240" w:lineRule="exact"/>
              <w:rPr>
                <w:rFonts w:ascii="仿宋" w:hAnsi="仿宋" w:eastAsia="仿宋" w:cs="仿宋"/>
                <w:szCs w:val="21"/>
              </w:rPr>
            </w:pP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单位和个人在广播电视传输线路保护范围内堆放笨重物品、种植树木、平整土地的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 第十二条第二十三条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单位和个人在天线、馈线保护范围外进行烧荒等的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《广播电视设施保护条例》第十三条第二十三条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单位和个人在广播电视传输线路上接挂、调整、安装、插接收听、收视设备的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《广播电视设施保护条例》第十五条第二十三条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单位和个人在天线场地敷设或者在架空传输线路上附挂电力、通信线路的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《广播电视设施保护条例》第十六条第二十三条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广播电台、电视台每套节目每天播出广播电视广告超出规定比例的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《广播电视广告播出管理办法》第十五条第四十一条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在广播电视节目中随意插播广告的，情节轻微的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《广播电视广告播出管理办法》第十七条第四十一条第五十条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非广播电视播放容易引起受众反感的广告的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《广播电视广告播出管理办法》第八条第四十条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广播电台、电视台超时超量播放酒类广告的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《广播电视设施保护条例》第八条第二十二条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发射台和有线广播电视传输网络机构擅自插播自行组织的广告或以游动字幕、叠加字幕</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《广播电视广告播出管理办法》第二十二条第四十一条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擅自从事广播电视节目传送业务的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 xml:space="preserve">《广播电视节目传送业务管理办法》 第十六条第二十二条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未完整传送广电总局规定必须传送的广播电视节目的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第十九条第二十三条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擅自在所传送的节目中插播节目、数据、图像、文字及其他信息的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第十八条第二十三条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未按照许可证载明事项从事传送业务的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第十二条第二十三条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营业场所、注册资本、股东及持股比例、法定代表人等重要事项发生变更，未在规定期限内书面通知原发证机关的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第十三条第二十三条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未向广播电视行政部门设立的监测机构提供所传送节目的完整信号，或干扰、阻碍监测活动的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第二十一条第二十三条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从事广播电视节目传送业务的机构擅自开办广播电视节目的;</w:t>
            </w:r>
          </w:p>
          <w:p>
            <w:pPr>
              <w:tabs>
                <w:tab w:val="left" w:pos="7937"/>
              </w:tabs>
              <w:spacing w:line="240" w:lineRule="exact"/>
              <w:rPr>
                <w:rFonts w:ascii="仿宋" w:hAnsi="仿宋" w:eastAsia="仿宋" w:cs="仿宋"/>
                <w:szCs w:val="21"/>
              </w:rPr>
            </w:pPr>
            <w:r>
              <w:rPr>
                <w:rFonts w:ascii="仿宋" w:hAnsi="仿宋" w:eastAsia="仿宋" w:cs="仿宋"/>
                <w:szCs w:val="21"/>
              </w:rPr>
              <w:t>从事广播电视节目传送业务的机构为非法开办的节目以及非法来源的广播电视节目信号提供传送服务的;</w:t>
            </w:r>
          </w:p>
          <w:p>
            <w:pPr>
              <w:tabs>
                <w:tab w:val="left" w:pos="7937"/>
              </w:tabs>
              <w:spacing w:line="240" w:lineRule="exact"/>
              <w:rPr>
                <w:rFonts w:ascii="仿宋" w:hAnsi="仿宋" w:eastAsia="仿宋" w:cs="仿宋"/>
                <w:szCs w:val="21"/>
              </w:rPr>
            </w:pPr>
            <w:r>
              <w:rPr>
                <w:rFonts w:ascii="仿宋" w:hAnsi="仿宋" w:eastAsia="仿宋" w:cs="仿宋"/>
                <w:szCs w:val="21"/>
              </w:rPr>
              <w:t>从事广播电视节目传送业务的机构擅自传送境外卫星电视节目的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《广播电视节目传送业务管理办法》 第十六条第二十四条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未按《广播电视视频点播业务许可证》载明的事项从事视频点播业务的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 第十七条第三十条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开办机构未经批准，擅自变更许可证事项、注册资本、股东及持股比例或者需终止开办视频点播业务的点播业务的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 第十八条第三十条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59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播放禁止播放的广播电视节目内容的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未经审查，引进用于视频点播的境外影视剧的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 第二十四条第三十条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超出用于视频点播节目范围的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 第二十五条第三十条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开办机构擅自变更许可证登记项目、注册资本、股东及持股比例的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《广播电视视频点播业务管理办法》第十八条第三十条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开办机构擅自变更营业场所、法定代表人、节目总编的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《广播电视视频点播业务管理办法》第十九条第三十条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开办机构播出前端未按规定与广播电视行政部门监控系统进行联网的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《广播电视视频点播业务管理办法》第二十八条第三十条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擅自在宾馆饭店经营视频点播业务的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《广播电视视频点播业务管理办法》第二十条第三十二条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擅自开办视频点播业务的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《广播电视视频点播业务管理办法》第五条第二十九条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擅自在互联网上使用广播电视专有名称开展视听节目服务业务的;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互联网视听节目服务单位变更注册资本、股东、股权结构，或上市融资，或重大资产变动时，未办理审批手续的;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互联网视听节目服务单位未建立健全节目营运规范，未采取版权保护措施，或对传播有害内容未履行提示、删除、报告义务的;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互联网视听节目服务单位未在播出界面显著位置标注播出标识、名称、《许可证》和备案编号的;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互联网视听节目服务单位未履行保留节目记录、向主管部门如实提供查询义务的;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互联网视听节目服务单位在同一年度内三次出现违规行为的;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互联网视听节目服务单位拒绝、阻挠、拖延广播电影电视主管部门依法进行监督检查或者在监督检查过程中弄虚作假的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互联网视听节目服务单位以虚假证明、文件等手段骗取《许可证》的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《互联网视听节目服务管理规定》 第二十三条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擅自从事互联网视听节目服务的;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互联网视听节目服务单位传播的;</w:t>
            </w:r>
          </w:p>
          <w:p>
            <w:pPr>
              <w:tabs>
                <w:tab w:val="left" w:pos="7937"/>
              </w:tabs>
              <w:spacing w:line="240" w:lineRule="exact"/>
              <w:rPr>
                <w:rFonts w:ascii="仿宋" w:hAnsi="仿宋" w:eastAsia="仿宋" w:cs="仿宋"/>
                <w:szCs w:val="21"/>
              </w:rPr>
            </w:pPr>
            <w:r>
              <w:rPr>
                <w:rFonts w:ascii="仿宋" w:hAnsi="仿宋" w:eastAsia="仿宋" w:cs="仿宋"/>
                <w:szCs w:val="21"/>
              </w:rPr>
              <w:t>视听节目内容违反规定的;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互联网视听节目服务单位未按照许可证载明或备案的事项从事互联网视听节目服务的或违规播出时政类视听新闻节目的</w:t>
            </w:r>
          </w:p>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互联网视听节目服务单位转播、链接、聚合、集成非法的广播电视频道和视听节目网站内容，擅自插播、截留视听节目信号的</w:t>
            </w:r>
          </w:p>
        </w:tc>
        <w:tc>
          <w:tcPr>
            <w:tcW w:w="4570"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《互联网视听节目服务管理规定》第二十四条第四十七条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擅自设立文艺表演团体、演出经纪机构或者擅自从事营业性演出经营活动的</w:t>
            </w:r>
          </w:p>
        </w:tc>
        <w:tc>
          <w:tcPr>
            <w:tcW w:w="4570" w:type="dxa"/>
            <w:vAlign w:val="center"/>
          </w:tcPr>
          <w:p>
            <w:pPr>
              <w:rPr>
                <w:rFonts w:ascii="仿宋" w:hAnsi="仿宋" w:eastAsia="仿宋" w:cs="仿宋"/>
                <w:szCs w:val="21"/>
              </w:rPr>
            </w:pPr>
            <w:r>
              <w:rPr>
                <w:rFonts w:ascii="仿宋" w:hAnsi="仿宋" w:eastAsia="仿宋" w:cs="仿宋"/>
                <w:szCs w:val="21"/>
              </w:rPr>
              <w:t>《营业性演出管理条例》 第七条 、第四十三条第（一）项</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超范围从事营业性演出经营活动的</w:t>
            </w:r>
          </w:p>
        </w:tc>
        <w:tc>
          <w:tcPr>
            <w:tcW w:w="4570" w:type="dxa"/>
            <w:vAlign w:val="center"/>
          </w:tcPr>
          <w:p>
            <w:pPr>
              <w:rPr>
                <w:rFonts w:ascii="仿宋" w:hAnsi="仿宋" w:eastAsia="仿宋" w:cs="仿宋"/>
                <w:szCs w:val="21"/>
              </w:rPr>
            </w:pPr>
            <w:r>
              <w:rPr>
                <w:rFonts w:ascii="仿宋" w:hAnsi="仿宋" w:eastAsia="仿宋" w:cs="仿宋"/>
                <w:szCs w:val="21"/>
              </w:rPr>
              <w:t>《印刷业管理条例》 第二十一条 、第三十八条第（六）项</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变更营业性演出经营项目未向原发证机关申请换发营业性演出许可证的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第九条 、第四十三条第（三）项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未经批准举办营业性演出的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第十四条、第十六条、第四十四条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变更演出的名称、时间、地点、场次未重新报批的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演出场所经营单位为未经批准的营业性演出提供场地的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第十八条、第四十四条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伪造、变造、出租、出借、买卖营业性演出许可证、批准文件，或者以非法手段取得营业性演出许可证、批准文件的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第三十二条、第四十五条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营业性演出有反对宪法确定的基本原则的</w:t>
            </w:r>
          </w:p>
        </w:tc>
        <w:tc>
          <w:tcPr>
            <w:tcW w:w="4570" w:type="dxa"/>
            <w:vAlign w:val="center"/>
          </w:tcPr>
          <w:p>
            <w:pPr>
              <w:rPr>
                <w:rFonts w:ascii="仿宋" w:hAnsi="仿宋" w:eastAsia="仿宋" w:cs="仿宋"/>
                <w:szCs w:val="21"/>
              </w:rPr>
            </w:pPr>
            <w:r>
              <w:rPr>
                <w:rFonts w:ascii="仿宋" w:hAnsi="仿宋" w:eastAsia="仿宋" w:cs="仿宋"/>
                <w:szCs w:val="21"/>
              </w:rPr>
              <w:t>《营业性演出管理条例》 第二十六条、第四十六条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spacing w:line="280" w:lineRule="exact"/>
              <w:rPr>
                <w:rFonts w:ascii="仿宋" w:hAnsi="仿宋" w:eastAsia="仿宋" w:cs="仿宋"/>
                <w:szCs w:val="21"/>
              </w:rPr>
            </w:pPr>
            <w:r>
              <w:rPr>
                <w:rFonts w:ascii="仿宋" w:hAnsi="仿宋" w:eastAsia="仿宋" w:cs="仿宋"/>
                <w:szCs w:val="21"/>
              </w:rPr>
              <w:t>营业性演出危害国家统一、主权和领土完整，危害国家安全，或者损害国家荣誉和利益的;</w:t>
            </w:r>
          </w:p>
          <w:p>
            <w:pPr>
              <w:spacing w:line="280" w:lineRule="exact"/>
              <w:rPr>
                <w:rFonts w:ascii="仿宋" w:hAnsi="仿宋" w:eastAsia="仿宋" w:cs="仿宋"/>
                <w:szCs w:val="21"/>
              </w:rPr>
            </w:pPr>
            <w:r>
              <w:rPr>
                <w:rFonts w:ascii="仿宋" w:hAnsi="仿宋" w:eastAsia="仿宋" w:cs="仿宋"/>
                <w:szCs w:val="21"/>
              </w:rPr>
              <w:t>营业性演出煽动民族仇恨、民族歧视，侵害民族风俗习惯，伤害民族感情，破坏民族团结，违反宗教政策的;</w:t>
            </w:r>
          </w:p>
          <w:p>
            <w:pPr>
              <w:spacing w:line="280" w:lineRule="exact"/>
              <w:rPr>
                <w:rFonts w:ascii="仿宋" w:hAnsi="仿宋" w:eastAsia="仿宋" w:cs="仿宋"/>
                <w:szCs w:val="21"/>
              </w:rPr>
            </w:pPr>
            <w:r>
              <w:rPr>
                <w:rFonts w:ascii="仿宋" w:hAnsi="仿宋" w:eastAsia="仿宋" w:cs="仿宋"/>
                <w:szCs w:val="21"/>
              </w:rPr>
              <w:t>营业性演出扰乱社会秩序，破坏社会稳定的;</w:t>
            </w:r>
          </w:p>
          <w:p>
            <w:pPr>
              <w:spacing w:line="280" w:lineRule="exact"/>
              <w:rPr>
                <w:rFonts w:ascii="仿宋" w:hAnsi="仿宋" w:eastAsia="仿宋" w:cs="仿宋"/>
                <w:szCs w:val="21"/>
              </w:rPr>
            </w:pPr>
            <w:r>
              <w:rPr>
                <w:rFonts w:ascii="仿宋" w:hAnsi="仿宋" w:eastAsia="仿宋" w:cs="仿宋"/>
                <w:szCs w:val="21"/>
              </w:rPr>
              <w:t>营业性演出危害社会公德或者民族优秀文化传统的;</w:t>
            </w:r>
          </w:p>
          <w:p>
            <w:pPr>
              <w:spacing w:line="280" w:lineRule="exact"/>
              <w:rPr>
                <w:rFonts w:ascii="仿宋" w:hAnsi="仿宋" w:eastAsia="仿宋" w:cs="仿宋"/>
                <w:szCs w:val="21"/>
              </w:rPr>
            </w:pPr>
            <w:r>
              <w:rPr>
                <w:rFonts w:ascii="仿宋" w:hAnsi="仿宋" w:eastAsia="仿宋" w:cs="仿宋"/>
                <w:szCs w:val="21"/>
              </w:rPr>
              <w:t>营业性演出宣扬淫秽、色情、邪教、迷信或者渲染暴力的;</w:t>
            </w:r>
          </w:p>
          <w:p>
            <w:pPr>
              <w:spacing w:line="280" w:lineRule="exact"/>
              <w:rPr>
                <w:rFonts w:ascii="仿宋" w:hAnsi="仿宋" w:eastAsia="仿宋" w:cs="仿宋"/>
                <w:szCs w:val="21"/>
              </w:rPr>
            </w:pPr>
            <w:r>
              <w:rPr>
                <w:rFonts w:ascii="仿宋" w:hAnsi="仿宋" w:eastAsia="仿宋" w:cs="仿宋"/>
                <w:szCs w:val="21"/>
              </w:rPr>
              <w:t>营业性演出侮辱或者诽谤他人，侵害他人合法权益的;</w:t>
            </w:r>
          </w:p>
          <w:p>
            <w:pPr>
              <w:spacing w:line="280" w:lineRule="exact"/>
              <w:rPr>
                <w:rFonts w:ascii="仿宋" w:hAnsi="仿宋" w:eastAsia="仿宋" w:cs="仿宋"/>
                <w:szCs w:val="21"/>
              </w:rPr>
            </w:pPr>
            <w:r>
              <w:rPr>
                <w:rFonts w:ascii="仿宋" w:hAnsi="仿宋" w:eastAsia="仿宋" w:cs="仿宋"/>
                <w:szCs w:val="21"/>
              </w:rPr>
              <w:t>营业性演出表演方式恐怖、残忍，摧残演员身心健康的;</w:t>
            </w:r>
          </w:p>
          <w:p>
            <w:pPr>
              <w:spacing w:line="280" w:lineRule="exact"/>
              <w:rPr>
                <w:rFonts w:ascii="仿宋" w:hAnsi="仿宋" w:eastAsia="仿宋" w:cs="仿宋"/>
                <w:szCs w:val="21"/>
              </w:rPr>
            </w:pPr>
            <w:r>
              <w:rPr>
                <w:rFonts w:ascii="仿宋" w:hAnsi="仿宋" w:eastAsia="仿宋" w:cs="仿宋"/>
                <w:szCs w:val="21"/>
              </w:rPr>
              <w:t>营业性演出利用人体缺陷或者以展示人体变异等方式招徕观众的;</w:t>
            </w:r>
          </w:p>
          <w:p>
            <w:pPr>
              <w:spacing w:line="280" w:lineRule="exact"/>
              <w:rPr>
                <w:rFonts w:ascii="仿宋" w:hAnsi="仿宋" w:eastAsia="仿宋" w:cs="仿宋"/>
                <w:szCs w:val="21"/>
              </w:rPr>
            </w:pPr>
            <w:r>
              <w:rPr>
                <w:rFonts w:ascii="仿宋" w:hAnsi="仿宋" w:eastAsia="仿宋" w:cs="仿宋"/>
                <w:szCs w:val="21"/>
              </w:rPr>
              <w:t>营业性演出有法律、行政法规禁止的其他情形的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 第二十六条、第四十六条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非因不可抗力中止、停止或者退出演出的;</w:t>
            </w:r>
          </w:p>
          <w:p>
            <w:pPr>
              <w:rPr>
                <w:rFonts w:ascii="仿宋" w:hAnsi="仿宋" w:eastAsia="仿宋" w:cs="仿宋"/>
                <w:szCs w:val="21"/>
              </w:rPr>
            </w:pPr>
            <w:r>
              <w:rPr>
                <w:rFonts w:ascii="仿宋" w:hAnsi="仿宋" w:eastAsia="仿宋" w:cs="仿宋"/>
                <w:szCs w:val="21"/>
              </w:rPr>
              <w:t>文艺表演团体、主要演员或者主要节目内容等发生变更未及时告知观众的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《营业性演出管理条例》第二十八条、第四十七条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79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以假唱欺骗观众的;</w:t>
            </w:r>
          </w:p>
          <w:p>
            <w:pPr>
              <w:rPr>
                <w:rFonts w:ascii="仿宋" w:hAnsi="仿宋" w:eastAsia="仿宋" w:cs="仿宋"/>
                <w:szCs w:val="21"/>
              </w:rPr>
            </w:pPr>
            <w:r>
              <w:rPr>
                <w:rFonts w:ascii="仿宋" w:hAnsi="仿宋" w:eastAsia="仿宋" w:cs="仿宋"/>
                <w:szCs w:val="21"/>
              </w:rPr>
              <w:t>为演员假唱提供条件的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《营业性演出管理条例》第二十九条、第四十七条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以政府或者政府部门的名义举办营业性演出，或者营业性演出冠以“中国”、“中华”、“全国”、“国际”等字样的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《营业性演出管理条例》第二十五条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演出举办单位或者其法定代表人、主要负责人及其他直接责任人员在募捐义演中获取经济利益的</w:t>
            </w:r>
          </w:p>
        </w:tc>
        <w:tc>
          <w:tcPr>
            <w:tcW w:w="4570" w:type="dxa"/>
            <w:vAlign w:val="center"/>
          </w:tcPr>
          <w:p>
            <w:pPr>
              <w:rPr>
                <w:rFonts w:ascii="仿宋" w:hAnsi="仿宋" w:eastAsia="仿宋" w:cs="仿宋"/>
                <w:szCs w:val="21"/>
              </w:rPr>
            </w:pPr>
            <w:r>
              <w:rPr>
                <w:rFonts w:ascii="仿宋" w:hAnsi="仿宋" w:eastAsia="仿宋" w:cs="仿宋"/>
                <w:szCs w:val="21"/>
              </w:rPr>
              <w:t xml:space="preserve">《营业性演出管理条例》第三十一条、第四十九条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变更名称、住所、法定代表人或者主要负责人未向原发证机关申请换发营业性演出许可证的</w:t>
            </w:r>
          </w:p>
        </w:tc>
        <w:tc>
          <w:tcPr>
            <w:tcW w:w="4570" w:type="dxa"/>
            <w:vAlign w:val="center"/>
          </w:tcPr>
          <w:p>
            <w:pPr>
              <w:rPr>
                <w:rFonts w:ascii="仿宋" w:hAnsi="仿宋" w:eastAsia="仿宋" w:cs="仿宋"/>
                <w:szCs w:val="21"/>
              </w:rPr>
            </w:pPr>
            <w:r>
              <w:rPr>
                <w:rFonts w:ascii="仿宋" w:hAnsi="仿宋" w:eastAsia="仿宋" w:cs="仿宋"/>
                <w:szCs w:val="21"/>
              </w:rPr>
              <w:t xml:space="preserve">《娱乐场所管理条例》第八条、第九条、第五十条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歌舞娱乐场所的歌曲点播系统与境外的曲库联接的;</w:t>
            </w:r>
          </w:p>
          <w:p>
            <w:pPr>
              <w:rPr>
                <w:rFonts w:ascii="仿宋" w:hAnsi="仿宋" w:eastAsia="仿宋" w:cs="仿宋"/>
                <w:szCs w:val="21"/>
              </w:rPr>
            </w:pPr>
            <w:r>
              <w:rPr>
                <w:rFonts w:ascii="仿宋" w:hAnsi="仿宋" w:eastAsia="仿宋" w:cs="仿宋"/>
                <w:szCs w:val="21"/>
              </w:rPr>
              <w:t>歌舞娱乐场所播放的曲目、屏幕画面或者游艺娱乐场所电子游戏机内的游戏项目含有本条例第十三条禁止内容的</w:t>
            </w:r>
          </w:p>
        </w:tc>
        <w:tc>
          <w:tcPr>
            <w:tcW w:w="4570" w:type="dxa"/>
            <w:vAlign w:val="center"/>
          </w:tcPr>
          <w:p>
            <w:pPr>
              <w:rPr>
                <w:rFonts w:ascii="仿宋" w:hAnsi="仿宋" w:eastAsia="仿宋" w:cs="仿宋"/>
                <w:szCs w:val="21"/>
              </w:rPr>
            </w:pPr>
            <w:r>
              <w:rPr>
                <w:rFonts w:ascii="仿宋" w:hAnsi="仿宋" w:eastAsia="仿宋" w:cs="仿宋"/>
                <w:szCs w:val="21"/>
              </w:rPr>
              <w:t>《娱乐场所管理条例》第十八条 、第四十七条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歌舞娱乐场所接纳未成年人的;</w:t>
            </w:r>
          </w:p>
          <w:p>
            <w:pPr>
              <w:rPr>
                <w:rFonts w:ascii="仿宋" w:hAnsi="仿宋" w:eastAsia="仿宋" w:cs="仿宋"/>
                <w:szCs w:val="21"/>
              </w:rPr>
            </w:pPr>
            <w:r>
              <w:rPr>
                <w:rFonts w:ascii="仿宋" w:hAnsi="仿宋" w:eastAsia="仿宋" w:cs="仿宋"/>
                <w:szCs w:val="21"/>
              </w:rPr>
              <w:t>游艺娱乐场所设置的电子游戏机在国家法定节假日外向未成年人提供的</w:t>
            </w:r>
          </w:p>
        </w:tc>
        <w:tc>
          <w:tcPr>
            <w:tcW w:w="4570" w:type="dxa"/>
            <w:vAlign w:val="center"/>
          </w:tcPr>
          <w:p>
            <w:pPr>
              <w:rPr>
                <w:rFonts w:ascii="仿宋" w:hAnsi="仿宋" w:eastAsia="仿宋" w:cs="仿宋"/>
                <w:szCs w:val="21"/>
              </w:rPr>
            </w:pPr>
            <w:r>
              <w:rPr>
                <w:rFonts w:ascii="仿宋" w:hAnsi="仿宋" w:eastAsia="仿宋" w:cs="仿宋"/>
                <w:szCs w:val="21"/>
              </w:rPr>
              <w:t xml:space="preserve">《娱乐场所管理条例》 第二十三条、第四十七条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娱乐场所容纳的消费者超过核定人数的</w:t>
            </w:r>
          </w:p>
        </w:tc>
        <w:tc>
          <w:tcPr>
            <w:tcW w:w="4570" w:type="dxa"/>
            <w:vAlign w:val="center"/>
          </w:tcPr>
          <w:p>
            <w:pPr>
              <w:rPr>
                <w:rFonts w:ascii="仿宋" w:hAnsi="仿宋" w:eastAsia="仿宋" w:cs="仿宋"/>
                <w:szCs w:val="21"/>
              </w:rPr>
            </w:pPr>
            <w:r>
              <w:rPr>
                <w:rFonts w:ascii="仿宋" w:hAnsi="仿宋" w:eastAsia="仿宋" w:cs="仿宋"/>
                <w:szCs w:val="21"/>
              </w:rPr>
              <w:t>《娱乐场所管理条例》 第九条、第四十七条第（五）项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变更有关事项，未按规定申请重新核发娱乐经营许可证的</w:t>
            </w:r>
          </w:p>
        </w:tc>
        <w:tc>
          <w:tcPr>
            <w:tcW w:w="4570" w:type="dxa"/>
            <w:vAlign w:val="center"/>
          </w:tcPr>
          <w:p>
            <w:pPr>
              <w:rPr>
                <w:rFonts w:ascii="仿宋" w:hAnsi="仿宋" w:eastAsia="仿宋" w:cs="仿宋"/>
                <w:szCs w:val="21"/>
              </w:rPr>
            </w:pPr>
            <w:r>
              <w:rPr>
                <w:rFonts w:ascii="仿宋" w:hAnsi="仿宋" w:eastAsia="仿宋" w:cs="仿宋"/>
                <w:szCs w:val="21"/>
              </w:rPr>
              <w:t xml:space="preserve">《娱乐场所管理条例》 第十二条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在规定的禁止营业时间内营业的</w:t>
            </w:r>
          </w:p>
        </w:tc>
        <w:tc>
          <w:tcPr>
            <w:tcW w:w="4570" w:type="dxa"/>
            <w:vAlign w:val="center"/>
          </w:tcPr>
          <w:p>
            <w:pPr>
              <w:rPr>
                <w:rFonts w:ascii="仿宋" w:hAnsi="仿宋" w:eastAsia="仿宋" w:cs="仿宋"/>
                <w:szCs w:val="21"/>
              </w:rPr>
            </w:pPr>
            <w:r>
              <w:rPr>
                <w:rFonts w:ascii="仿宋" w:hAnsi="仿宋" w:eastAsia="仿宋" w:cs="仿宋"/>
                <w:szCs w:val="21"/>
              </w:rPr>
              <w:t xml:space="preserve">《娱乐场所管理条例》 第二十八条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从业人员在营业期间未统一着装并佩带工作标志的</w:t>
            </w:r>
          </w:p>
        </w:tc>
        <w:tc>
          <w:tcPr>
            <w:tcW w:w="4570" w:type="dxa"/>
            <w:vAlign w:val="center"/>
          </w:tcPr>
          <w:p>
            <w:pPr>
              <w:rPr>
                <w:rFonts w:ascii="仿宋" w:hAnsi="仿宋" w:eastAsia="仿宋" w:cs="仿宋"/>
                <w:szCs w:val="21"/>
              </w:rPr>
            </w:pPr>
            <w:r>
              <w:rPr>
                <w:rFonts w:ascii="仿宋" w:hAnsi="仿宋" w:eastAsia="仿宋" w:cs="仿宋"/>
                <w:szCs w:val="21"/>
              </w:rPr>
              <w:t xml:space="preserve">《娱乐场所管理条例》 第二十七条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89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未按规定建立从业人员名簿、营业日志</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 xml:space="preserve">《娱乐场所管理条例》 第二十五条、第四十九条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90</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未按规定悬挂警示标志、未成年人禁入或者限入标志的</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《娱乐场所管理条例》 第三十条　</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91</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对擅自在文物保护单位的保护范围内进行建设工程或者爆破、钻探、挖掘等作业的行政处罚;</w:t>
            </w:r>
          </w:p>
          <w:p>
            <w:pPr>
              <w:rPr>
                <w:rFonts w:ascii="仿宋" w:hAnsi="仿宋" w:eastAsia="仿宋" w:cs="仿宋"/>
                <w:szCs w:val="21"/>
              </w:rPr>
            </w:pPr>
            <w:r>
              <w:rPr>
                <w:rFonts w:ascii="仿宋" w:hAnsi="仿宋" w:eastAsia="仿宋" w:cs="仿宋"/>
                <w:szCs w:val="21"/>
              </w:rPr>
              <w:t>对在文物保护单位的建设控制地带内进行建设工程，其工程设计方案未经文物行政部门同意、报城乡建设规划部门批准，对文物保护单位的历史风貌造成破坏的行政处罚;</w:t>
            </w:r>
          </w:p>
          <w:p>
            <w:pPr>
              <w:rPr>
                <w:rFonts w:ascii="仿宋" w:hAnsi="仿宋" w:eastAsia="仿宋" w:cs="仿宋"/>
                <w:szCs w:val="21"/>
              </w:rPr>
            </w:pPr>
            <w:r>
              <w:rPr>
                <w:rFonts w:ascii="仿宋" w:hAnsi="仿宋" w:eastAsia="仿宋" w:cs="仿宋"/>
                <w:szCs w:val="21"/>
              </w:rPr>
              <w:t>对擅自迁移、拆除不可移动文物的行政处罚;</w:t>
            </w:r>
          </w:p>
          <w:p>
            <w:pPr>
              <w:rPr>
                <w:rFonts w:ascii="仿宋" w:hAnsi="仿宋" w:eastAsia="仿宋" w:cs="仿宋"/>
                <w:szCs w:val="21"/>
              </w:rPr>
            </w:pPr>
            <w:r>
              <w:rPr>
                <w:rFonts w:ascii="仿宋" w:hAnsi="仿宋" w:eastAsia="仿宋" w:cs="仿宋"/>
                <w:szCs w:val="21"/>
              </w:rPr>
              <w:t>对擅自修缮不可移动文物，明显改变文物原状的行政处罚;</w:t>
            </w:r>
          </w:p>
          <w:p>
            <w:pPr>
              <w:rPr>
                <w:rFonts w:ascii="仿宋" w:hAnsi="仿宋" w:eastAsia="仿宋" w:cs="仿宋"/>
                <w:szCs w:val="21"/>
              </w:rPr>
            </w:pPr>
            <w:r>
              <w:rPr>
                <w:rFonts w:ascii="仿宋" w:hAnsi="仿宋" w:eastAsia="仿宋" w:cs="仿宋"/>
                <w:szCs w:val="21"/>
              </w:rPr>
              <w:t>对擅自在原址重建已全部毁坏的不可移动文物，造成文物破坏的行政处罚;</w:t>
            </w:r>
          </w:p>
          <w:p>
            <w:pPr>
              <w:rPr>
                <w:rFonts w:ascii="仿宋" w:hAnsi="仿宋" w:eastAsia="仿宋" w:cs="仿宋"/>
                <w:szCs w:val="21"/>
              </w:rPr>
            </w:pPr>
            <w:r>
              <w:rPr>
                <w:rFonts w:ascii="仿宋" w:hAnsi="仿宋" w:eastAsia="仿宋" w:cs="仿宋"/>
                <w:szCs w:val="21"/>
              </w:rPr>
              <w:t>对施工单位未取得文物保护工程资质证书，擅自从事文物修缮、迁移、重建的行政处罚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《中华人民共和国文物保护法》第六十六条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92</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对未取得相应等级的文物保护工程资质证书，擅自承担文物保护单位的修缮、迁移、重建工程的行政处罚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《&lt;中华人民共和国文物保护法&gt;实施条例》第五十五条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93</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对转让或者抵押国有不可移动文物，或者将国有不可移动文物作为企业资产经营的行政处罚;</w:t>
            </w:r>
          </w:p>
          <w:p>
            <w:pPr>
              <w:rPr>
                <w:rFonts w:ascii="仿宋" w:hAnsi="仿宋" w:eastAsia="仿宋" w:cs="仿宋"/>
                <w:szCs w:val="21"/>
              </w:rPr>
            </w:pPr>
            <w:r>
              <w:rPr>
                <w:rFonts w:ascii="仿宋" w:hAnsi="仿宋" w:eastAsia="仿宋" w:cs="仿宋"/>
                <w:szCs w:val="21"/>
              </w:rPr>
              <w:t>对将非国有不可移动文物转让或者抵押给外国人的行政处罚;</w:t>
            </w:r>
          </w:p>
          <w:p>
            <w:pPr>
              <w:rPr>
                <w:rFonts w:ascii="仿宋" w:hAnsi="仿宋" w:eastAsia="仿宋" w:cs="仿宋"/>
                <w:szCs w:val="21"/>
              </w:rPr>
            </w:pPr>
            <w:r>
              <w:rPr>
                <w:rFonts w:ascii="仿宋" w:hAnsi="仿宋" w:eastAsia="仿宋" w:cs="仿宋"/>
                <w:szCs w:val="21"/>
              </w:rPr>
              <w:t>对擅自改变国有文物保护单位的用途的</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《中华人民共和国文物保护法》第六十八条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94</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对文物收藏单位未按照国家有关规定配备防火、防盗、防自然损坏的设施的行政处罚;</w:t>
            </w:r>
          </w:p>
          <w:p>
            <w:pPr>
              <w:rPr>
                <w:rFonts w:ascii="仿宋" w:hAnsi="仿宋" w:eastAsia="仿宋" w:cs="仿宋"/>
                <w:szCs w:val="21"/>
              </w:rPr>
            </w:pPr>
            <w:r>
              <w:rPr>
                <w:rFonts w:ascii="仿宋" w:hAnsi="仿宋" w:eastAsia="仿宋" w:cs="仿宋"/>
                <w:szCs w:val="21"/>
              </w:rPr>
              <w:t>对国有文物收藏单位法定代表人离任时未按照馆藏文物档案移交馆藏文物，或者所移交的馆藏文物与馆藏文物档案不符的行政处罚;</w:t>
            </w:r>
          </w:p>
          <w:p>
            <w:pPr>
              <w:rPr>
                <w:rFonts w:ascii="仿宋" w:hAnsi="仿宋" w:eastAsia="仿宋" w:cs="仿宋"/>
                <w:szCs w:val="21"/>
              </w:rPr>
            </w:pPr>
            <w:r>
              <w:rPr>
                <w:rFonts w:ascii="仿宋" w:hAnsi="仿宋" w:eastAsia="仿宋" w:cs="仿宋"/>
                <w:szCs w:val="21"/>
              </w:rPr>
              <w:t>对将国有馆藏文物赠与、出租或者出售给其他单位、个人的行政处罚;</w:t>
            </w:r>
          </w:p>
          <w:p>
            <w:pPr>
              <w:rPr>
                <w:rFonts w:ascii="仿宋" w:hAnsi="仿宋" w:eastAsia="仿宋" w:cs="仿宋"/>
                <w:szCs w:val="21"/>
              </w:rPr>
            </w:pPr>
            <w:r>
              <w:rPr>
                <w:rFonts w:ascii="仿宋" w:hAnsi="仿宋" w:eastAsia="仿宋" w:cs="仿宋"/>
                <w:szCs w:val="21"/>
              </w:rPr>
              <w:t>对违反《中华人民共和国文物保护法》第四十条、第四十一条、第四十五条规定处置国有馆藏文物的行政处罚;</w:t>
            </w:r>
          </w:p>
          <w:p>
            <w:pPr>
              <w:rPr>
                <w:rFonts w:ascii="仿宋" w:hAnsi="仿宋" w:eastAsia="仿宋" w:cs="仿宋"/>
                <w:szCs w:val="21"/>
              </w:rPr>
            </w:pPr>
            <w:r>
              <w:rPr>
                <w:rFonts w:ascii="仿宋" w:hAnsi="仿宋" w:eastAsia="仿宋" w:cs="仿宋"/>
                <w:szCs w:val="21"/>
              </w:rPr>
              <w:t>对违反《中华人民共和国文物保护法》第四十三条规定挪用或者侵占依法调拨、交换、出借文物所得补偿费用的行政处罚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《中华人民共和国文物保护法》第七十条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95</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对买卖国家禁止买卖的文物或者将禁止出境的文物转让、出租、质押给外国人，尚不构成犯罪的行政处罚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《中华人民共和国文物保护法》第七十一条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96</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对发现文物隐匿不报或者拒不上交的行政处罚;</w:t>
            </w:r>
          </w:p>
          <w:p>
            <w:pPr>
              <w:rPr>
                <w:rFonts w:ascii="仿宋" w:hAnsi="仿宋" w:eastAsia="仿宋" w:cs="仿宋"/>
                <w:szCs w:val="21"/>
              </w:rPr>
            </w:pPr>
            <w:r>
              <w:rPr>
                <w:rFonts w:ascii="仿宋" w:hAnsi="仿宋" w:eastAsia="仿宋" w:cs="仿宋"/>
                <w:szCs w:val="21"/>
              </w:rPr>
              <w:t>对未按照规定移交拣选文物的行政处罚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《中华人民共和国文物保护法》第七十四条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97</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对未取得资质证书，擅自从事馆藏文物的修复、复制、拓印活动的行政处罚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《&lt;中华人民共和国文物保护法&gt;实施条例》第五十六条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98</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tabs>
                <w:tab w:val="left" w:pos="7937"/>
              </w:tabs>
              <w:spacing w:line="240" w:lineRule="exact"/>
              <w:rPr>
                <w:rFonts w:ascii="仿宋" w:hAnsi="仿宋" w:eastAsia="仿宋" w:cs="仿宋"/>
                <w:szCs w:val="21"/>
              </w:rPr>
            </w:pPr>
            <w:r>
              <w:rPr>
                <w:rFonts w:ascii="仿宋" w:hAnsi="仿宋" w:eastAsia="仿宋" w:cs="仿宋"/>
                <w:szCs w:val="21"/>
              </w:rPr>
              <w:t>对未经批准擅自修复、复制、拓印、拍摄馆藏珍贵文物的行政处罚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《&lt;中华人民共和国文物保护法&gt;实施条例》第五十八条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0" w:hRule="atLeast"/>
        </w:trPr>
        <w:tc>
          <w:tcPr>
            <w:tcW w:w="998" w:type="dxa"/>
            <w:vAlign w:val="center"/>
          </w:tcPr>
          <w:p>
            <w:pPr>
              <w:jc w:val="center"/>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99</w:t>
            </w:r>
          </w:p>
        </w:tc>
        <w:tc>
          <w:tcPr>
            <w:tcW w:w="2139"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偏关县文化和旅游局</w:t>
            </w:r>
          </w:p>
        </w:tc>
        <w:tc>
          <w:tcPr>
            <w:tcW w:w="1768"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行政处罚</w:t>
            </w:r>
          </w:p>
        </w:tc>
        <w:tc>
          <w:tcPr>
            <w:tcW w:w="2399" w:type="dxa"/>
            <w:vAlign w:val="center"/>
          </w:tcPr>
          <w:p>
            <w:pPr>
              <w:rPr>
                <w:rFonts w:ascii="仿宋" w:hAnsi="仿宋" w:eastAsia="仿宋" w:cs="仿宋"/>
                <w:szCs w:val="21"/>
              </w:rPr>
            </w:pPr>
            <w:r>
              <w:rPr>
                <w:rFonts w:ascii="仿宋" w:hAnsi="仿宋" w:eastAsia="仿宋" w:cs="仿宋"/>
                <w:szCs w:val="21"/>
              </w:rPr>
              <w:t>对破坏水下文物，私自勘探、发掘、打捞水下文物，或者隐匿、私分、贩运、非法出售、非法出口水下文物，具有《中华人民共和国文物保护法》规定情形的行政处罚;</w:t>
            </w:r>
          </w:p>
          <w:p>
            <w:pPr>
              <w:rPr>
                <w:rFonts w:ascii="仿宋" w:hAnsi="仿宋" w:eastAsia="仿宋" w:cs="仿宋"/>
                <w:szCs w:val="21"/>
              </w:rPr>
            </w:pPr>
            <w:r>
              <w:rPr>
                <w:rFonts w:ascii="仿宋" w:hAnsi="仿宋" w:eastAsia="仿宋" w:cs="仿宋"/>
                <w:szCs w:val="21"/>
              </w:rPr>
              <w:t>对单位或者个人经批准后实施水下文物考古勘探或者发掘活动，活动范围涉及港务监督部门管辖水域的，未报请港务监督部门核准的行政处罚;</w:t>
            </w:r>
          </w:p>
          <w:p>
            <w:pPr>
              <w:tabs>
                <w:tab w:val="left" w:pos="7937"/>
              </w:tabs>
              <w:spacing w:line="240" w:lineRule="exact"/>
              <w:rPr>
                <w:rFonts w:ascii="仿宋" w:hAnsi="仿宋" w:eastAsia="仿宋" w:cs="仿宋"/>
                <w:szCs w:val="21"/>
              </w:rPr>
            </w:pPr>
            <w:r>
              <w:rPr>
                <w:rFonts w:ascii="仿宋" w:hAnsi="仿宋" w:eastAsia="仿宋" w:cs="仿宋"/>
                <w:szCs w:val="21"/>
              </w:rPr>
              <w:t>对单位或者个人经批准后实施水下文物考古勘探或发掘活动，违反法律、法规及有关部门管理的规定以及污染水体环境、损害水下资源、破坏水面水下设施、妨碍相关正常水面、水下作业的行政处罚</w:t>
            </w:r>
          </w:p>
        </w:tc>
        <w:tc>
          <w:tcPr>
            <w:tcW w:w="4570" w:type="dxa"/>
            <w:vAlign w:val="center"/>
          </w:tcPr>
          <w:p>
            <w:pPr>
              <w:rPr>
                <w:rFonts w:ascii="仿宋" w:hAnsi="仿宋" w:eastAsia="仿宋" w:cs="仿宋"/>
                <w:szCs w:val="21"/>
              </w:rPr>
            </w:pPr>
            <w:r>
              <w:rPr>
                <w:rFonts w:ascii="仿宋" w:hAnsi="仿宋" w:eastAsia="仿宋" w:cs="仿宋"/>
                <w:color w:val="2B2B2B"/>
                <w:szCs w:val="21"/>
                <w:shd w:val="clear" w:color="auto" w:fill="FBFBFB"/>
              </w:rPr>
              <w:t>《中华人民共和国水下文物保护保护管理条例》第十条、第七条、第八条、第九条</w:t>
            </w:r>
          </w:p>
        </w:tc>
        <w:tc>
          <w:tcPr>
            <w:tcW w:w="2300"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法人和其他组织</w:t>
            </w:r>
          </w:p>
        </w:tc>
      </w:tr>
    </w:tbl>
    <w:p>
      <w:pPr>
        <w:sectPr>
          <w:pgSz w:w="16838" w:h="11906" w:orient="landscape"/>
          <w:pgMar w:top="1800" w:right="1440" w:bottom="1800" w:left="1440" w:header="851" w:footer="992" w:gutter="0"/>
          <w:cols w:space="425" w:num="1"/>
          <w:docGrid w:type="lines" w:linePitch="312" w:charSpace="0"/>
        </w:sectPr>
      </w:pPr>
      <w:bookmarkStart w:id="0" w:name="_GoBack"/>
      <w:bookmarkEnd w:id="0"/>
    </w:p>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4"/>
    <w:rsid w:val="00010479"/>
    <w:rsid w:val="00035F44"/>
    <w:rsid w:val="000449AA"/>
    <w:rsid w:val="00055CB6"/>
    <w:rsid w:val="00056F06"/>
    <w:rsid w:val="0008642B"/>
    <w:rsid w:val="00097015"/>
    <w:rsid w:val="0012783F"/>
    <w:rsid w:val="00155ACF"/>
    <w:rsid w:val="001623E0"/>
    <w:rsid w:val="00182DBD"/>
    <w:rsid w:val="00184C21"/>
    <w:rsid w:val="001A72AB"/>
    <w:rsid w:val="001E362E"/>
    <w:rsid w:val="001F6DDB"/>
    <w:rsid w:val="00212F77"/>
    <w:rsid w:val="00240231"/>
    <w:rsid w:val="00266788"/>
    <w:rsid w:val="002712DB"/>
    <w:rsid w:val="002A0490"/>
    <w:rsid w:val="00313A27"/>
    <w:rsid w:val="003168C6"/>
    <w:rsid w:val="003221BC"/>
    <w:rsid w:val="003273D8"/>
    <w:rsid w:val="003536C1"/>
    <w:rsid w:val="00355DCD"/>
    <w:rsid w:val="00365281"/>
    <w:rsid w:val="0039426A"/>
    <w:rsid w:val="0039568C"/>
    <w:rsid w:val="003C2F3D"/>
    <w:rsid w:val="003C3B2D"/>
    <w:rsid w:val="003E3E03"/>
    <w:rsid w:val="003F4DE3"/>
    <w:rsid w:val="00400703"/>
    <w:rsid w:val="004169C6"/>
    <w:rsid w:val="00432B7A"/>
    <w:rsid w:val="0044382C"/>
    <w:rsid w:val="00451F5C"/>
    <w:rsid w:val="00465CC0"/>
    <w:rsid w:val="00475B89"/>
    <w:rsid w:val="00487DB5"/>
    <w:rsid w:val="004967A0"/>
    <w:rsid w:val="004A3380"/>
    <w:rsid w:val="004A3DD8"/>
    <w:rsid w:val="004B3EA2"/>
    <w:rsid w:val="004B62DE"/>
    <w:rsid w:val="004C7A26"/>
    <w:rsid w:val="004D19F5"/>
    <w:rsid w:val="004E286C"/>
    <w:rsid w:val="004E3324"/>
    <w:rsid w:val="004F3FAC"/>
    <w:rsid w:val="00526F7C"/>
    <w:rsid w:val="00564C24"/>
    <w:rsid w:val="005827E3"/>
    <w:rsid w:val="005858D0"/>
    <w:rsid w:val="00590346"/>
    <w:rsid w:val="005A33C2"/>
    <w:rsid w:val="005A5C33"/>
    <w:rsid w:val="005C60A7"/>
    <w:rsid w:val="005E2623"/>
    <w:rsid w:val="005F479C"/>
    <w:rsid w:val="00610610"/>
    <w:rsid w:val="006108A5"/>
    <w:rsid w:val="00632F39"/>
    <w:rsid w:val="00634CA7"/>
    <w:rsid w:val="0064103C"/>
    <w:rsid w:val="006874A0"/>
    <w:rsid w:val="006C396F"/>
    <w:rsid w:val="006D0BCC"/>
    <w:rsid w:val="006F0434"/>
    <w:rsid w:val="00715582"/>
    <w:rsid w:val="00745F12"/>
    <w:rsid w:val="007565AB"/>
    <w:rsid w:val="00760E79"/>
    <w:rsid w:val="0077422A"/>
    <w:rsid w:val="007768F7"/>
    <w:rsid w:val="00787395"/>
    <w:rsid w:val="00793D87"/>
    <w:rsid w:val="007C1DAA"/>
    <w:rsid w:val="007E53B4"/>
    <w:rsid w:val="007F29BF"/>
    <w:rsid w:val="00801C39"/>
    <w:rsid w:val="0080383E"/>
    <w:rsid w:val="0081256D"/>
    <w:rsid w:val="00813D1E"/>
    <w:rsid w:val="008275DF"/>
    <w:rsid w:val="00833467"/>
    <w:rsid w:val="008726F2"/>
    <w:rsid w:val="00875302"/>
    <w:rsid w:val="00892B0A"/>
    <w:rsid w:val="008B21A6"/>
    <w:rsid w:val="008C00F4"/>
    <w:rsid w:val="008C03D7"/>
    <w:rsid w:val="00904F56"/>
    <w:rsid w:val="009250D0"/>
    <w:rsid w:val="0095081D"/>
    <w:rsid w:val="00977BCB"/>
    <w:rsid w:val="009D4B64"/>
    <w:rsid w:val="009E573E"/>
    <w:rsid w:val="009F7C19"/>
    <w:rsid w:val="00A16E41"/>
    <w:rsid w:val="00A22796"/>
    <w:rsid w:val="00A364AA"/>
    <w:rsid w:val="00A4130D"/>
    <w:rsid w:val="00A54956"/>
    <w:rsid w:val="00A55293"/>
    <w:rsid w:val="00A62F48"/>
    <w:rsid w:val="00A64ED9"/>
    <w:rsid w:val="00A954A5"/>
    <w:rsid w:val="00AA6301"/>
    <w:rsid w:val="00AD7706"/>
    <w:rsid w:val="00AF2B2E"/>
    <w:rsid w:val="00AF642C"/>
    <w:rsid w:val="00B53A2E"/>
    <w:rsid w:val="00B53FC5"/>
    <w:rsid w:val="00B66DEE"/>
    <w:rsid w:val="00B72E66"/>
    <w:rsid w:val="00B82759"/>
    <w:rsid w:val="00B834FD"/>
    <w:rsid w:val="00BB6A04"/>
    <w:rsid w:val="00C07B78"/>
    <w:rsid w:val="00C07ECC"/>
    <w:rsid w:val="00C13084"/>
    <w:rsid w:val="00C13777"/>
    <w:rsid w:val="00C137E0"/>
    <w:rsid w:val="00C34342"/>
    <w:rsid w:val="00C813C5"/>
    <w:rsid w:val="00C85664"/>
    <w:rsid w:val="00C9419D"/>
    <w:rsid w:val="00CA6851"/>
    <w:rsid w:val="00CD72E6"/>
    <w:rsid w:val="00CE7905"/>
    <w:rsid w:val="00CF5EF9"/>
    <w:rsid w:val="00CF6C4D"/>
    <w:rsid w:val="00D01CED"/>
    <w:rsid w:val="00D41DA9"/>
    <w:rsid w:val="00D4591B"/>
    <w:rsid w:val="00D60EB6"/>
    <w:rsid w:val="00D61571"/>
    <w:rsid w:val="00DC5DDC"/>
    <w:rsid w:val="00DD0DC8"/>
    <w:rsid w:val="00E059ED"/>
    <w:rsid w:val="00E31928"/>
    <w:rsid w:val="00E46303"/>
    <w:rsid w:val="00E559D9"/>
    <w:rsid w:val="00E84F32"/>
    <w:rsid w:val="00ED1E5A"/>
    <w:rsid w:val="00EF3F77"/>
    <w:rsid w:val="00F226A9"/>
    <w:rsid w:val="00F26FD6"/>
    <w:rsid w:val="00F5287B"/>
    <w:rsid w:val="00F61F6D"/>
    <w:rsid w:val="00F62F19"/>
    <w:rsid w:val="00F70D19"/>
    <w:rsid w:val="00F76638"/>
    <w:rsid w:val="00F8112F"/>
    <w:rsid w:val="00F87BFB"/>
    <w:rsid w:val="00FA3338"/>
    <w:rsid w:val="00FE1412"/>
    <w:rsid w:val="0AA51997"/>
    <w:rsid w:val="0C026428"/>
    <w:rsid w:val="0C977C72"/>
    <w:rsid w:val="0FF04BAB"/>
    <w:rsid w:val="1142066F"/>
    <w:rsid w:val="11596B17"/>
    <w:rsid w:val="153C00D8"/>
    <w:rsid w:val="195D6051"/>
    <w:rsid w:val="23F61C90"/>
    <w:rsid w:val="2981071E"/>
    <w:rsid w:val="29DB2F44"/>
    <w:rsid w:val="31313A17"/>
    <w:rsid w:val="313E217E"/>
    <w:rsid w:val="35112082"/>
    <w:rsid w:val="382D27EB"/>
    <w:rsid w:val="39B4598C"/>
    <w:rsid w:val="3BAB7560"/>
    <w:rsid w:val="3C28444B"/>
    <w:rsid w:val="3DC52076"/>
    <w:rsid w:val="3FD74629"/>
    <w:rsid w:val="41456B48"/>
    <w:rsid w:val="42B94FDB"/>
    <w:rsid w:val="43A03E28"/>
    <w:rsid w:val="44B0234D"/>
    <w:rsid w:val="44D95CC5"/>
    <w:rsid w:val="46A71F89"/>
    <w:rsid w:val="49F351FD"/>
    <w:rsid w:val="4A480D01"/>
    <w:rsid w:val="57D86EE8"/>
    <w:rsid w:val="594A0EC7"/>
    <w:rsid w:val="5B2527F7"/>
    <w:rsid w:val="5F3A049E"/>
    <w:rsid w:val="5FF45B26"/>
    <w:rsid w:val="613032D1"/>
    <w:rsid w:val="62A52619"/>
    <w:rsid w:val="62EE3341"/>
    <w:rsid w:val="64981A10"/>
    <w:rsid w:val="68AC521D"/>
    <w:rsid w:val="699F2327"/>
    <w:rsid w:val="6ABF5229"/>
    <w:rsid w:val="6CA639D8"/>
    <w:rsid w:val="6CBE257D"/>
    <w:rsid w:val="6F393422"/>
    <w:rsid w:val="704A5BD6"/>
    <w:rsid w:val="71986A4E"/>
    <w:rsid w:val="7C5C3ABD"/>
    <w:rsid w:val="7CE5524D"/>
    <w:rsid w:val="7DDB1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11689A-813A-42BC-9C20-AC4D9B5C583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Words>
  <Characters>356</Characters>
  <Lines>2</Lines>
  <Paragraphs>1</Paragraphs>
  <TotalTime>5</TotalTime>
  <ScaleCrop>false</ScaleCrop>
  <LinksUpToDate>false</LinksUpToDate>
  <CharactersWithSpaces>417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2018-04-15T07:48:00Z</dcterms:created>
  <dc:creator>李颖</dc:creator>
  <cp:lastModifiedBy>娜娜</cp:lastModifiedBy>
  <dcterms:modified xsi:type="dcterms:W3CDTF">2021-04-14T03:36:18Z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B382F16D5E3C48C9972329985161B04C</vt:lpwstr>
  </property>
</Properties>
</file>